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FA" w:rsidRPr="00FF5DFA" w:rsidRDefault="00FF5DFA" w:rsidP="00FF5DF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ahoma" w:hAnsi="Tahoma" w:cs="Tahoma"/>
          <w:b/>
          <w:bCs/>
          <w:color w:val="595959" w:themeColor="text1" w:themeTint="A6"/>
        </w:rPr>
      </w:pPr>
      <w:r w:rsidRPr="00FF5DFA">
        <w:rPr>
          <w:rFonts w:ascii="Tahoma" w:hAnsi="Tahoma" w:cs="Tahoma"/>
          <w:b/>
          <w:bCs/>
          <w:color w:val="595959" w:themeColor="text1" w:themeTint="A6"/>
        </w:rPr>
        <w:t>PRIMEIRO OFICIAL DE REGISTRO DE IMÓVEIS DE SANTO ANDRÉ</w:t>
      </w:r>
      <w:r w:rsidR="00EB5DC2">
        <w:rPr>
          <w:rFonts w:ascii="Tahoma" w:hAnsi="Tahoma" w:cs="Tahoma"/>
          <w:b/>
          <w:bCs/>
          <w:color w:val="595959" w:themeColor="text1" w:themeTint="A6"/>
        </w:rPr>
        <w:t>-SP</w:t>
      </w:r>
    </w:p>
    <w:p w:rsidR="00FF5DFA" w:rsidRPr="00FF5DFA" w:rsidRDefault="00FF5DFA" w:rsidP="00FF5DF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Arial" w:hAnsi="Arial" w:cs="Arial"/>
          <w:b/>
          <w:bCs/>
          <w:color w:val="595959" w:themeColor="text1" w:themeTint="A6"/>
        </w:rPr>
      </w:pPr>
    </w:p>
    <w:p w:rsidR="00FF5DFA" w:rsidRPr="00EB5DC2" w:rsidRDefault="00FF5DFA" w:rsidP="00FF5DFA">
      <w:pPr>
        <w:ind w:left="0" w:firstLine="0"/>
        <w:jc w:val="center"/>
        <w:rPr>
          <w:rFonts w:ascii="Arial" w:hAnsi="Arial" w:cs="Arial"/>
          <w:color w:val="595959" w:themeColor="text1" w:themeTint="A6"/>
          <w:sz w:val="22"/>
          <w:szCs w:val="22"/>
          <w:shd w:val="clear" w:color="auto" w:fill="FFFFFF"/>
        </w:rPr>
      </w:pPr>
      <w:r w:rsidRPr="00EB5DC2">
        <w:rPr>
          <w:rFonts w:ascii="Arial" w:hAnsi="Arial" w:cs="Arial"/>
          <w:color w:val="595959" w:themeColor="text1" w:themeTint="A6"/>
          <w:sz w:val="22"/>
          <w:szCs w:val="22"/>
        </w:rPr>
        <w:t>Roteiro para Usucapião Extrajudicial – artigo 216-A</w:t>
      </w:r>
      <w:r w:rsidRPr="00EB5DC2">
        <w:rPr>
          <w:rFonts w:ascii="Arial" w:hAnsi="Arial" w:cs="Arial"/>
          <w:color w:val="595959" w:themeColor="text1" w:themeTint="A6"/>
          <w:sz w:val="22"/>
          <w:szCs w:val="22"/>
          <w:shd w:val="clear" w:color="auto" w:fill="FFFFFF"/>
        </w:rPr>
        <w:t xml:space="preserve"> da Lei de Registros Públicos (Lei nº. 6.015/1973)</w:t>
      </w:r>
    </w:p>
    <w:p w:rsidR="00C83879" w:rsidRPr="00CD4EFB" w:rsidRDefault="00C83879" w:rsidP="001A1532">
      <w:pPr>
        <w:spacing w:before="120" w:after="12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D4EFB">
        <w:rPr>
          <w:rFonts w:ascii="Arial" w:hAnsi="Arial" w:cs="Arial"/>
          <w:b/>
          <w:sz w:val="22"/>
          <w:szCs w:val="22"/>
        </w:rPr>
        <w:t>Documentos</w:t>
      </w:r>
      <w:r w:rsidR="001A1532" w:rsidRPr="00CD4EFB">
        <w:rPr>
          <w:rFonts w:ascii="Arial" w:hAnsi="Arial" w:cs="Arial"/>
          <w:b/>
          <w:sz w:val="22"/>
          <w:szCs w:val="22"/>
        </w:rPr>
        <w:t xml:space="preserve"> a serem apresentados</w:t>
      </w:r>
      <w:r w:rsidRPr="00CD4EFB">
        <w:rPr>
          <w:rFonts w:ascii="Arial" w:hAnsi="Arial" w:cs="Arial"/>
          <w:b/>
          <w:sz w:val="22"/>
          <w:szCs w:val="22"/>
        </w:rPr>
        <w:t xml:space="preserve"> em conformidade ao Provimento nº. 65 de 14/12/2017 do CNJ</w:t>
      </w:r>
    </w:p>
    <w:p w:rsidR="00114325" w:rsidRPr="00CD4EFB" w:rsidRDefault="00C83879" w:rsidP="00CD4EFB">
      <w:pPr>
        <w:pStyle w:val="PargrafodaLista"/>
        <w:numPr>
          <w:ilvl w:val="0"/>
          <w:numId w:val="8"/>
        </w:numPr>
        <w:spacing w:before="120" w:after="120"/>
        <w:rPr>
          <w:rFonts w:ascii="Arial" w:hAnsi="Arial" w:cs="Arial"/>
          <w:sz w:val="22"/>
          <w:szCs w:val="22"/>
        </w:rPr>
      </w:pPr>
      <w:r w:rsidRPr="00CD4EFB">
        <w:rPr>
          <w:rFonts w:ascii="Arial" w:hAnsi="Arial" w:cs="Arial"/>
          <w:sz w:val="22"/>
          <w:szCs w:val="22"/>
        </w:rPr>
        <w:t>Pedido inicial de reconhecimento extrajudicial de usucapião assinado por advogado ou defensor público co</w:t>
      </w:r>
      <w:r w:rsidR="00CD4EFB">
        <w:rPr>
          <w:rFonts w:ascii="Arial" w:hAnsi="Arial" w:cs="Arial"/>
          <w:sz w:val="22"/>
          <w:szCs w:val="22"/>
        </w:rPr>
        <w:t>nstituído pelo(s) requerente(s);</w:t>
      </w:r>
    </w:p>
    <w:p w:rsidR="00C83879" w:rsidRPr="00CD4EFB" w:rsidRDefault="00C83879" w:rsidP="00CD4EFB">
      <w:pPr>
        <w:pStyle w:val="PargrafodaLista"/>
        <w:numPr>
          <w:ilvl w:val="0"/>
          <w:numId w:val="8"/>
        </w:numPr>
        <w:spacing w:before="120" w:after="1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>Procuração pública ou particular (no último caso, deverá conter o reconhecimento de firma</w:t>
      </w:r>
      <w:r w:rsid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>), com fins específicos;</w:t>
      </w:r>
    </w:p>
    <w:p w:rsidR="00CD4EFB" w:rsidRPr="00CD4EFB" w:rsidRDefault="00114325" w:rsidP="00CD4EFB">
      <w:pPr>
        <w:pStyle w:val="PargrafodaLista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>Ata notarial lavrada por T</w:t>
      </w:r>
      <w:r w:rsidR="00142836"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>abelião</w:t>
      </w:r>
      <w:r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Notas</w:t>
      </w:r>
      <w:r w:rsidR="00142836"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desta </w:t>
      </w:r>
      <w:r w:rsidR="00CD4EFB"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>Comarca</w:t>
      </w:r>
      <w:r w:rsid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</w:p>
    <w:p w:rsidR="00C83879" w:rsidRPr="00CD4EFB" w:rsidRDefault="00C83879" w:rsidP="00CD4EFB">
      <w:pPr>
        <w:pStyle w:val="PargrafodaLi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Cópias autenticadas dos documentos do </w:t>
      </w:r>
      <w:r w:rsidR="00836C90"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>requerente, se</w:t>
      </w:r>
      <w:r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pessoa jurídica</w:t>
      </w:r>
      <w:r w:rsidR="00836C90"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>cópia autenticada do contrato social (último consolidado) ou estatuto social, todos os documentos (aditivo, ata, procuração, etc.), posteriores e certidão atualizada da junta comercial ou do Cartório de Registro Civil d</w:t>
      </w:r>
      <w:r w:rsidR="00852B77">
        <w:rPr>
          <w:rFonts w:ascii="Arial" w:hAnsi="Arial" w:cs="Arial"/>
          <w:color w:val="000000"/>
          <w:sz w:val="22"/>
          <w:szCs w:val="22"/>
          <w:shd w:val="clear" w:color="auto" w:fill="FFFFFF"/>
        </w:rPr>
        <w:t>e</w:t>
      </w:r>
      <w:r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Pessoa Jurídica atestando todos os arquivamentos;</w:t>
      </w:r>
    </w:p>
    <w:p w:rsidR="00C83879" w:rsidRPr="00CD4EFB" w:rsidRDefault="00C83879" w:rsidP="00CD4EFB">
      <w:pPr>
        <w:pStyle w:val="PargrafodaLi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proofErr w:type="gramStart"/>
      <w:r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>Certidão(</w:t>
      </w:r>
      <w:proofErr w:type="spellStart"/>
      <w:proofErr w:type="gramEnd"/>
      <w:r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>õe</w:t>
      </w:r>
      <w:r w:rsidR="00142836"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proofErr w:type="spellEnd"/>
      <w:r w:rsidR="00142836"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>) de distribuição de ações da Justiça E</w:t>
      </w:r>
      <w:r w:rsidR="00836C90"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stadual, </w:t>
      </w:r>
      <w:r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>da comarca da situação do imóvel e do domicílio do</w:t>
      </w:r>
      <w:r w:rsidR="00142836"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>(s)</w:t>
      </w:r>
      <w:r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requerente</w:t>
      </w:r>
      <w:r w:rsidR="00142836"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>(s)</w:t>
      </w:r>
      <w:r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>, assim como dos</w:t>
      </w:r>
      <w:r w:rsidR="00836C90"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antecessores, se for o caso (</w:t>
      </w:r>
      <w:r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>dentro do prazo de validade</w:t>
      </w:r>
      <w:r w:rsidR="00836C90"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</w:p>
    <w:p w:rsidR="00836C90" w:rsidRPr="00CD4EFB" w:rsidRDefault="00C83879" w:rsidP="00CD4EFB">
      <w:pPr>
        <w:pStyle w:val="PargrafodaLi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proofErr w:type="gramStart"/>
      <w:r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>Certidão(</w:t>
      </w:r>
      <w:proofErr w:type="spellStart"/>
      <w:proofErr w:type="gramEnd"/>
      <w:r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>ões</w:t>
      </w:r>
      <w:proofErr w:type="spellEnd"/>
      <w:r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) de distribuição de ações da </w:t>
      </w:r>
      <w:r w:rsidR="00142836"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>Justiça F</w:t>
      </w:r>
      <w:r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>ederal, do</w:t>
      </w:r>
      <w:r w:rsidR="00142836"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>(s)</w:t>
      </w:r>
      <w:r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requerente</w:t>
      </w:r>
      <w:r w:rsidR="00142836"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>(s)</w:t>
      </w:r>
      <w:r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assim como dos antecessores, </w:t>
      </w:r>
      <w:r w:rsidR="00836C90"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>se for o caso (dentro do prazo de validade)</w:t>
      </w:r>
      <w:r w:rsid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</w:p>
    <w:p w:rsidR="00142836" w:rsidRPr="00CD4EFB" w:rsidRDefault="00114325" w:rsidP="00CD4EFB">
      <w:pPr>
        <w:pStyle w:val="PargrafodaLi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>Planta e m</w:t>
      </w:r>
      <w:r w:rsidR="00142836"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>emorial descritivo</w:t>
      </w:r>
      <w:r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42836"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>assinado</w:t>
      </w:r>
      <w:r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 w:rsidR="00836C90"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pelo(s) requerente(s) </w:t>
      </w:r>
      <w:r w:rsidR="00142836"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ou seu representante legal, titulares de domínio na matrícula/transcrição dos imóveis confrontantes e pelo responsável técnico, </w:t>
      </w:r>
      <w:r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 com prova da </w:t>
      </w:r>
      <w:r w:rsidR="00142836"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ART ou RRT, </w:t>
      </w:r>
      <w:proofErr w:type="gramStart"/>
      <w:r w:rsidR="00142836"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>assina</w:t>
      </w:r>
      <w:r w:rsidR="00852B77">
        <w:rPr>
          <w:rFonts w:ascii="Arial" w:hAnsi="Arial" w:cs="Arial"/>
          <w:color w:val="000000"/>
          <w:sz w:val="22"/>
          <w:szCs w:val="22"/>
          <w:shd w:val="clear" w:color="auto" w:fill="FFFFFF"/>
        </w:rPr>
        <w:t>do(</w:t>
      </w:r>
      <w:proofErr w:type="gramEnd"/>
      <w:r w:rsidR="00852B7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a) pelo responsável técnico e </w:t>
      </w:r>
      <w:r w:rsidR="00142836"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>comprovante de quitação</w:t>
      </w:r>
      <w:r w:rsidR="00852B7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852B77"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>com firma</w:t>
      </w:r>
      <w:r w:rsidR="00852B77"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 w:rsidR="00852B77"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reconhecida</w:t>
      </w:r>
      <w:r w:rsidR="00852B77"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 w:rsidR="00852B77"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por semelhança ou autenticidade</w:t>
      </w:r>
      <w:r w:rsidR="00142836"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</w:p>
    <w:p w:rsidR="00DF25FF" w:rsidRPr="00CD4EFB" w:rsidRDefault="00DF25FF" w:rsidP="00CD4EFB">
      <w:pPr>
        <w:pStyle w:val="PargrafodaLista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>Justo título (se for o caso)</w:t>
      </w:r>
      <w:r w:rsidR="00114325"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ou d</w:t>
      </w:r>
      <w:r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ocumentos que comprovem a posse do imóvel (origem, continuidade, cadeia </w:t>
      </w:r>
      <w:r w:rsid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>possessória e o tempo da posse);</w:t>
      </w:r>
    </w:p>
    <w:p w:rsidR="00632085" w:rsidRPr="00CD4EFB" w:rsidRDefault="00836C90" w:rsidP="00CD4EFB">
      <w:pPr>
        <w:pStyle w:val="PargrafodaLi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D4EFB">
        <w:rPr>
          <w:rFonts w:ascii="Arial" w:hAnsi="Arial" w:cs="Arial"/>
          <w:sz w:val="22"/>
          <w:szCs w:val="22"/>
        </w:rPr>
        <w:t>Certidão dos órgãos municipais e/ou federais que demonstre a natureza urbana do imóvel usu</w:t>
      </w:r>
      <w:r w:rsidR="00CD4EFB">
        <w:rPr>
          <w:rFonts w:ascii="Arial" w:hAnsi="Arial" w:cs="Arial"/>
          <w:sz w:val="22"/>
          <w:szCs w:val="22"/>
        </w:rPr>
        <w:t>capiendo;</w:t>
      </w:r>
    </w:p>
    <w:p w:rsidR="00632085" w:rsidRPr="00CD4EFB" w:rsidRDefault="00632085" w:rsidP="00CD4EFB">
      <w:pPr>
        <w:pStyle w:val="PargrafodaLi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>E</w:t>
      </w:r>
      <w:r w:rsidR="00C83879" w:rsidRP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>scritura declaratória de únicos herdeiros com nomeação de inventariante (se for o caso, é obrigatório)</w:t>
      </w:r>
      <w:r w:rsidR="00CD4EFB"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</w:p>
    <w:p w:rsidR="00C83879" w:rsidRPr="00113382" w:rsidRDefault="00C83879" w:rsidP="00F2700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A1532" w:rsidRDefault="001A1532" w:rsidP="00113382">
      <w:pPr>
        <w:shd w:val="clear" w:color="auto" w:fill="FFFFFF"/>
        <w:spacing w:after="220" w:line="240" w:lineRule="auto"/>
        <w:ind w:left="0" w:firstLine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Observações:</w:t>
      </w:r>
    </w:p>
    <w:p w:rsidR="00CD4EFB" w:rsidRPr="00852B77" w:rsidRDefault="00CD4EFB" w:rsidP="00CD4EFB">
      <w:pPr>
        <w:ind w:left="0" w:firstLine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52B77">
        <w:rPr>
          <w:rFonts w:ascii="Arial" w:hAnsi="Arial" w:cs="Arial"/>
          <w:color w:val="000000"/>
          <w:sz w:val="22"/>
          <w:szCs w:val="22"/>
          <w:shd w:val="clear" w:color="auto" w:fill="FFFFFF"/>
        </w:rPr>
        <w:t>*imóveis sem registro: certidão negativa de ônus</w:t>
      </w:r>
      <w:r w:rsidRPr="00852B77">
        <w:rPr>
          <w:rFonts w:ascii="Arial" w:hAnsi="Arial" w:cs="Arial"/>
          <w:sz w:val="22"/>
          <w:szCs w:val="22"/>
        </w:rPr>
        <w:t xml:space="preserve"> reais e ações reais e pessoais reipersecutórias</w:t>
      </w:r>
      <w:r w:rsidRPr="00852B7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ou certidão da transcrição aquisitiva, emitidas pelos registros</w:t>
      </w:r>
      <w:r w:rsidR="00A744B0" w:rsidRPr="00852B7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</w:t>
      </w:r>
      <w:r w:rsidRPr="00852B7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imóveis competentes </w:t>
      </w:r>
      <w:r w:rsidRPr="00852B77">
        <w:rPr>
          <w:rFonts w:ascii="Arial" w:hAnsi="Arial" w:cs="Arial"/>
          <w:sz w:val="22"/>
          <w:szCs w:val="22"/>
        </w:rPr>
        <w:t>das circunscrições que anteriormente tiveram a competência</w:t>
      </w:r>
      <w:r w:rsidRPr="00852B77">
        <w:rPr>
          <w:rFonts w:ascii="Arial" w:hAnsi="Arial" w:cs="Arial"/>
          <w:color w:val="000000"/>
          <w:sz w:val="22"/>
          <w:szCs w:val="22"/>
          <w:shd w:val="clear" w:color="auto" w:fill="FFFFFF"/>
        </w:rPr>
        <w:t>, dentro do prazo de validade (</w:t>
      </w:r>
      <w:r w:rsidRPr="00852B77">
        <w:rPr>
          <w:rFonts w:ascii="Arial" w:hAnsi="Arial" w:cs="Arial"/>
          <w:sz w:val="22"/>
          <w:szCs w:val="22"/>
        </w:rPr>
        <w:t>do imóvel usucapiendo e dos imóveis confrontantes).</w:t>
      </w:r>
    </w:p>
    <w:p w:rsidR="00293BE0" w:rsidRPr="00852B77" w:rsidRDefault="00852B77" w:rsidP="00CD4EFB">
      <w:pPr>
        <w:shd w:val="clear" w:color="auto" w:fill="FFFFFF"/>
        <w:spacing w:after="2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*</w:t>
      </w:r>
      <w:r w:rsidR="00632085" w:rsidRPr="00852B77"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 w:rsidR="00C83879" w:rsidRPr="00852B77">
        <w:rPr>
          <w:rFonts w:ascii="Arial" w:hAnsi="Arial" w:cs="Arial"/>
          <w:color w:val="000000"/>
          <w:sz w:val="22"/>
          <w:szCs w:val="22"/>
          <w:shd w:val="clear" w:color="auto" w:fill="FFFFFF"/>
        </w:rPr>
        <w:t>e for imóvel</w:t>
      </w:r>
      <w:r w:rsidR="00220D00" w:rsidRPr="00852B7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unidade autônoma de c</w:t>
      </w:r>
      <w:r w:rsidR="00C83879" w:rsidRPr="00852B7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ondomínio edilício com o devido registro/averbação realizado é dispensada a apresentação de memorial descritivo, planta e ART/RRT, desde que no </w:t>
      </w:r>
      <w:r w:rsidR="00220D00" w:rsidRPr="00852B77">
        <w:rPr>
          <w:rFonts w:ascii="Arial" w:hAnsi="Arial" w:cs="Arial"/>
          <w:color w:val="000000"/>
          <w:sz w:val="22"/>
          <w:szCs w:val="22"/>
          <w:shd w:val="clear" w:color="auto" w:fill="FFFFFF"/>
        </w:rPr>
        <w:t>requerimento conste a</w:t>
      </w:r>
      <w:r w:rsidR="00C83879" w:rsidRPr="00852B7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descrição</w:t>
      </w:r>
      <w:r w:rsidR="00220D00" w:rsidRPr="00852B7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da respectiva matrícula</w:t>
      </w:r>
      <w:r w:rsidR="00C83879" w:rsidRPr="00852B7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do imóvel</w:t>
      </w:r>
      <w:r w:rsidR="00293BE0" w:rsidRPr="00852B77">
        <w:rPr>
          <w:rFonts w:ascii="Arial" w:hAnsi="Arial" w:cs="Arial"/>
          <w:color w:val="000000"/>
          <w:sz w:val="22"/>
          <w:szCs w:val="22"/>
          <w:shd w:val="clear" w:color="auto" w:fill="FFFFFF"/>
        </w:rPr>
        <w:t>, sendo suficiente a anuência do síndico do condomínio</w:t>
      </w:r>
      <w:r w:rsidR="00C83879" w:rsidRPr="00852B77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44444F" w:rsidRPr="00852B77" w:rsidRDefault="00852B77" w:rsidP="004B1D0F">
      <w:pPr>
        <w:shd w:val="clear" w:color="auto" w:fill="FFFFFF"/>
        <w:spacing w:after="220"/>
        <w:ind w:left="0" w:firstLine="0"/>
        <w:rPr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*</w:t>
      </w:r>
      <w:r w:rsidR="001A1532" w:rsidRPr="00852B77">
        <w:rPr>
          <w:rFonts w:ascii="Arial" w:hAnsi="Arial" w:cs="Arial"/>
          <w:iCs/>
          <w:color w:val="000000"/>
          <w:sz w:val="22"/>
          <w:szCs w:val="22"/>
        </w:rPr>
        <w:t xml:space="preserve">nos termos do artigo 26, inciso II do Provimento nº. 65 de 14/12/2017 do Conselho Nacional de Justiça (Art. 26. Enquanto não for editada, no âmbito dos Estados e do Distrito Federal, </w:t>
      </w:r>
      <w:proofErr w:type="gramStart"/>
      <w:r w:rsidR="001A1532" w:rsidRPr="00852B77">
        <w:rPr>
          <w:rFonts w:ascii="Arial" w:hAnsi="Arial" w:cs="Arial"/>
          <w:iCs/>
          <w:color w:val="000000"/>
          <w:sz w:val="22"/>
          <w:szCs w:val="22"/>
        </w:rPr>
        <w:t>legislação específica acerca da fixação de emolumentos para o procedimento da usucapião extrajudicial, serão</w:t>
      </w:r>
      <w:proofErr w:type="gramEnd"/>
      <w:r w:rsidR="001A1532" w:rsidRPr="00852B77">
        <w:rPr>
          <w:rFonts w:ascii="Arial" w:hAnsi="Arial" w:cs="Arial"/>
          <w:iCs/>
          <w:color w:val="000000"/>
          <w:sz w:val="22"/>
          <w:szCs w:val="22"/>
        </w:rPr>
        <w:t xml:space="preserve"> adotadas as </w:t>
      </w:r>
      <w:r w:rsidR="001A1532" w:rsidRPr="00852B77">
        <w:rPr>
          <w:rFonts w:ascii="Arial" w:hAnsi="Arial" w:cs="Arial"/>
          <w:iCs/>
          <w:color w:val="000000"/>
          <w:sz w:val="22"/>
          <w:szCs w:val="22"/>
        </w:rPr>
        <w:lastRenderedPageBreak/>
        <w:t>seguintes regras: II – no registro de imóveis, pelo processamento da usucapião, serão devidos emolumentos equivalentes a 50% do valor previsto na tabela de emolumentos para o registro e, caso o pedido seja deferido, também serão devidos emolumentos pela aquisição da propriedade equivalentes a 50% do valor previsto na tabela de emolumentos para o registro, tomando-se por base o valor venal do imóvel relativo ao último lançamento do imposto predial e territorial urbano ou ao imposto territorial rural ou, quando não estipulado, o valor de mercado aproximado).</w:t>
      </w:r>
    </w:p>
    <w:p w:rsidR="004B1D0F" w:rsidRPr="00852B77" w:rsidRDefault="00852B77" w:rsidP="004B1D0F">
      <w:pPr>
        <w:shd w:val="clear" w:color="auto" w:fill="FFFFFF"/>
        <w:spacing w:after="2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*</w:t>
      </w:r>
      <w:r w:rsidR="004B1D0F" w:rsidRPr="00852B77">
        <w:rPr>
          <w:rFonts w:ascii="Arial" w:hAnsi="Arial" w:cs="Arial"/>
          <w:iCs/>
          <w:color w:val="000000"/>
          <w:sz w:val="22"/>
          <w:szCs w:val="22"/>
        </w:rPr>
        <w:t xml:space="preserve">as despesas com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eventuais </w:t>
      </w:r>
      <w:r w:rsidR="004B1D0F" w:rsidRPr="00852B77">
        <w:rPr>
          <w:rFonts w:ascii="Arial" w:hAnsi="Arial" w:cs="Arial"/>
          <w:iCs/>
          <w:color w:val="000000"/>
          <w:sz w:val="22"/>
          <w:szCs w:val="22"/>
        </w:rPr>
        <w:t xml:space="preserve">notificações dos titulares de domínio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e </w:t>
      </w:r>
      <w:r w:rsidR="004B1D0F" w:rsidRPr="00852B77">
        <w:rPr>
          <w:rFonts w:ascii="Arial" w:hAnsi="Arial" w:cs="Arial"/>
          <w:iCs/>
          <w:color w:val="000000"/>
          <w:sz w:val="22"/>
          <w:szCs w:val="22"/>
        </w:rPr>
        <w:t>confrontantes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r w:rsidR="00D26BE3">
        <w:rPr>
          <w:rFonts w:ascii="Arial" w:hAnsi="Arial" w:cs="Arial"/>
          <w:iCs/>
          <w:color w:val="000000"/>
          <w:sz w:val="22"/>
          <w:szCs w:val="22"/>
        </w:rPr>
        <w:t>bem como dos</w:t>
      </w:r>
      <w:r w:rsidR="004B1D0F" w:rsidRPr="00852B77">
        <w:rPr>
          <w:rFonts w:ascii="Arial" w:hAnsi="Arial" w:cs="Arial"/>
          <w:iCs/>
          <w:color w:val="000000"/>
          <w:sz w:val="22"/>
          <w:szCs w:val="22"/>
        </w:rPr>
        <w:t xml:space="preserve"> entes públicos</w:t>
      </w:r>
      <w:r w:rsidR="00D26BE3">
        <w:rPr>
          <w:rFonts w:ascii="Arial" w:hAnsi="Arial" w:cs="Arial"/>
          <w:iCs/>
          <w:color w:val="000000"/>
          <w:sz w:val="22"/>
          <w:szCs w:val="22"/>
        </w:rPr>
        <w:t>,</w:t>
      </w:r>
      <w:r w:rsidR="004B1D0F" w:rsidRPr="00852B77">
        <w:rPr>
          <w:rFonts w:ascii="Arial" w:hAnsi="Arial" w:cs="Arial"/>
          <w:iCs/>
          <w:color w:val="000000"/>
          <w:sz w:val="22"/>
          <w:szCs w:val="22"/>
        </w:rPr>
        <w:t xml:space="preserve"> serão cobradas ao final do processo.</w:t>
      </w:r>
    </w:p>
    <w:p w:rsidR="004B1D0F" w:rsidRDefault="004B1D0F" w:rsidP="004B1D0F">
      <w:pPr>
        <w:pStyle w:val="PargrafodaLista"/>
        <w:rPr>
          <w:sz w:val="22"/>
          <w:szCs w:val="22"/>
        </w:rPr>
      </w:pPr>
    </w:p>
    <w:p w:rsidR="004B1D0F" w:rsidRPr="00CD4EFB" w:rsidRDefault="004B1D0F" w:rsidP="004B1D0F">
      <w:p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Tendo em vista a natureza do procedimento, o título estará sujeito a novas exigências, após sua qualificação.</w:t>
      </w:r>
    </w:p>
    <w:p w:rsidR="00050887" w:rsidRPr="00CD4EFB" w:rsidRDefault="00050887" w:rsidP="0044444F">
      <w:pPr>
        <w:ind w:left="0" w:firstLine="0"/>
        <w:rPr>
          <w:rFonts w:ascii="Arial" w:hAnsi="Arial" w:cs="Arial"/>
          <w:b/>
        </w:rPr>
      </w:pPr>
    </w:p>
    <w:sectPr w:rsidR="00050887" w:rsidRPr="00CD4EFB" w:rsidSect="00B245DD">
      <w:pgSz w:w="11906" w:h="16838"/>
      <w:pgMar w:top="851" w:right="680" w:bottom="567" w:left="73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B77" w:rsidRDefault="00852B77" w:rsidP="00C83879">
      <w:pPr>
        <w:spacing w:line="240" w:lineRule="auto"/>
      </w:pPr>
      <w:r>
        <w:separator/>
      </w:r>
    </w:p>
  </w:endnote>
  <w:endnote w:type="continuationSeparator" w:id="1">
    <w:p w:rsidR="00852B77" w:rsidRDefault="00852B77" w:rsidP="00C83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B77" w:rsidRDefault="00852B77" w:rsidP="00C83879">
      <w:pPr>
        <w:spacing w:line="240" w:lineRule="auto"/>
      </w:pPr>
      <w:r>
        <w:separator/>
      </w:r>
    </w:p>
  </w:footnote>
  <w:footnote w:type="continuationSeparator" w:id="1">
    <w:p w:rsidR="00852B77" w:rsidRDefault="00852B77" w:rsidP="00C838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7189"/>
    <w:multiLevelType w:val="hybridMultilevel"/>
    <w:tmpl w:val="B0C2B5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23D5E"/>
    <w:multiLevelType w:val="hybridMultilevel"/>
    <w:tmpl w:val="6CFEAF74"/>
    <w:lvl w:ilvl="0" w:tplc="0FA811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C2CD4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22308DD"/>
    <w:multiLevelType w:val="hybridMultilevel"/>
    <w:tmpl w:val="61043164"/>
    <w:lvl w:ilvl="0" w:tplc="1C38D1B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C5A11"/>
    <w:multiLevelType w:val="hybridMultilevel"/>
    <w:tmpl w:val="030C375C"/>
    <w:lvl w:ilvl="0" w:tplc="0416000F">
      <w:start w:val="1"/>
      <w:numFmt w:val="decimal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70605035"/>
    <w:multiLevelType w:val="multilevel"/>
    <w:tmpl w:val="70224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6D773E0"/>
    <w:multiLevelType w:val="hybridMultilevel"/>
    <w:tmpl w:val="061483E6"/>
    <w:lvl w:ilvl="0" w:tplc="0416000F">
      <w:start w:val="1"/>
      <w:numFmt w:val="decimal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7998079D"/>
    <w:multiLevelType w:val="hybridMultilevel"/>
    <w:tmpl w:val="68C82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gutterAtTop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C83879"/>
    <w:rsid w:val="00050887"/>
    <w:rsid w:val="000776B6"/>
    <w:rsid w:val="000F1823"/>
    <w:rsid w:val="00113382"/>
    <w:rsid w:val="00114325"/>
    <w:rsid w:val="00142836"/>
    <w:rsid w:val="00162A04"/>
    <w:rsid w:val="001A1532"/>
    <w:rsid w:val="001F3541"/>
    <w:rsid w:val="00214B21"/>
    <w:rsid w:val="00220D00"/>
    <w:rsid w:val="00293BE0"/>
    <w:rsid w:val="003A57EB"/>
    <w:rsid w:val="003E6E49"/>
    <w:rsid w:val="003F3A37"/>
    <w:rsid w:val="0044444F"/>
    <w:rsid w:val="004B1D0F"/>
    <w:rsid w:val="004C6FB8"/>
    <w:rsid w:val="00576113"/>
    <w:rsid w:val="00632085"/>
    <w:rsid w:val="0066611E"/>
    <w:rsid w:val="00666CF2"/>
    <w:rsid w:val="00693937"/>
    <w:rsid w:val="006D2057"/>
    <w:rsid w:val="006E7A8A"/>
    <w:rsid w:val="00716F2E"/>
    <w:rsid w:val="007D5593"/>
    <w:rsid w:val="007E09FC"/>
    <w:rsid w:val="007F3D88"/>
    <w:rsid w:val="008220D0"/>
    <w:rsid w:val="00836C90"/>
    <w:rsid w:val="00852B77"/>
    <w:rsid w:val="008B5962"/>
    <w:rsid w:val="008F20BD"/>
    <w:rsid w:val="00925274"/>
    <w:rsid w:val="0099227C"/>
    <w:rsid w:val="00A5679F"/>
    <w:rsid w:val="00A56B87"/>
    <w:rsid w:val="00A744B0"/>
    <w:rsid w:val="00AA507A"/>
    <w:rsid w:val="00B245DD"/>
    <w:rsid w:val="00B77375"/>
    <w:rsid w:val="00BB334D"/>
    <w:rsid w:val="00C567DE"/>
    <w:rsid w:val="00C83879"/>
    <w:rsid w:val="00CD4EFB"/>
    <w:rsid w:val="00D25A07"/>
    <w:rsid w:val="00D26BE3"/>
    <w:rsid w:val="00DF25FF"/>
    <w:rsid w:val="00E92884"/>
    <w:rsid w:val="00EB5DC2"/>
    <w:rsid w:val="00F27007"/>
    <w:rsid w:val="00F36ABA"/>
    <w:rsid w:val="00F769E4"/>
    <w:rsid w:val="00FA2BB5"/>
    <w:rsid w:val="00FF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line="360" w:lineRule="auto"/>
        <w:ind w:left="284"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FB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838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879"/>
    <w:rPr>
      <w:sz w:val="24"/>
      <w:szCs w:val="24"/>
    </w:rPr>
  </w:style>
  <w:style w:type="paragraph" w:styleId="Rodap">
    <w:name w:val="footer"/>
    <w:basedOn w:val="Normal"/>
    <w:link w:val="RodapChar"/>
    <w:rsid w:val="00C838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C83879"/>
    <w:rPr>
      <w:sz w:val="24"/>
      <w:szCs w:val="24"/>
    </w:rPr>
  </w:style>
  <w:style w:type="paragraph" w:styleId="Textodebalo">
    <w:name w:val="Balloon Text"/>
    <w:basedOn w:val="Normal"/>
    <w:link w:val="TextodebaloChar"/>
    <w:rsid w:val="00C838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387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14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547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11</cp:revision>
  <cp:lastPrinted>2019-04-24T14:27:00Z</cp:lastPrinted>
  <dcterms:created xsi:type="dcterms:W3CDTF">2019-04-24T13:08:00Z</dcterms:created>
  <dcterms:modified xsi:type="dcterms:W3CDTF">2019-04-24T14:43:00Z</dcterms:modified>
</cp:coreProperties>
</file>